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jpeg" ContentType="image/jpeg"/>
  <Override PartName="/word/media/image2.jpeg" ContentType="image/jpeg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225"/>
        <w:ind w:right="7" w:hanging="0"/>
        <w:jc w:val="right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ANEXO II </w:t>
      </w:r>
      <w:r>
        <w:rPr>
          <w:rFonts w:cs="Arial" w:ascii="Arial" w:hAnsi="Arial"/>
        </w:rPr>
        <w:t xml:space="preserve"> </w:t>
      </w:r>
    </w:p>
    <w:p>
      <w:pPr>
        <w:pStyle w:val="Normal"/>
        <w:spacing w:lineRule="auto" w:line="259" w:before="0" w:after="223"/>
        <w:ind w:left="237" w:right="2" w:hanging="10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REQUISITOS, RESPONSABILIDADES Y OBLIGACIONES REFERENTES AL FUNCIONAMIENTO DEL INTERCAMBIO VIRTUAL </w:t>
      </w:r>
    </w:p>
    <w:p>
      <w:pPr>
        <w:pStyle w:val="Heading1"/>
        <w:ind w:left="569" w:hanging="0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cs="Arial" w:ascii="Arial" w:hAnsi="Arial"/>
          <w:b/>
          <w:color w:val="auto"/>
          <w:sz w:val="22"/>
          <w:szCs w:val="22"/>
          <w:u w:val="single"/>
        </w:rPr>
        <w:t xml:space="preserve">UNIVERSIDAD DE ORIGEN  </w:t>
      </w:r>
    </w:p>
    <w:p>
      <w:pPr>
        <w:pStyle w:val="Normal"/>
        <w:numPr>
          <w:ilvl w:val="0"/>
          <w:numId w:val="2"/>
        </w:numPr>
        <w:spacing w:lineRule="auto" w:line="252" w:before="0" w:after="3"/>
        <w:ind w:left="1279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Cada universidad participante, en su condición de institución de origen, suscribirá un compromiso, en forma previa a que el/la estudiante realice el intercambio virtual.  </w:t>
      </w:r>
    </w:p>
    <w:p>
      <w:pPr>
        <w:pStyle w:val="Normal"/>
        <w:numPr>
          <w:ilvl w:val="0"/>
          <w:numId w:val="2"/>
        </w:numPr>
        <w:spacing w:lineRule="auto" w:line="252" w:before="0" w:after="3"/>
        <w:ind w:left="1279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Mantendrá una fluida comunicación con las universidades de destino, tanto en la coordinación institucional como en la coordinación académica.  </w:t>
      </w:r>
    </w:p>
    <w:p>
      <w:pPr>
        <w:pStyle w:val="Normal"/>
        <w:numPr>
          <w:ilvl w:val="0"/>
          <w:numId w:val="2"/>
        </w:numPr>
        <w:spacing w:lineRule="auto" w:line="252" w:before="0" w:after="3"/>
        <w:ind w:left="1279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La selección se realizará mediante concurso de méritos a el/la estudiante, que participará en estancias de intercambio virtual. Además de considerar los antecedentes académicos y certificación de otros requisitos que cada universidad considere pertinentes, se evaluará la propuesta.  </w:t>
      </w:r>
    </w:p>
    <w:p>
      <w:pPr>
        <w:pStyle w:val="Normal"/>
        <w:numPr>
          <w:ilvl w:val="0"/>
          <w:numId w:val="2"/>
        </w:numPr>
        <w:spacing w:lineRule="auto" w:line="252" w:before="0" w:after="3"/>
        <w:ind w:left="1279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Informar a los/las estudiantes seleccionados/as acerca de los objetivos del Programa y su funcionamiento, de sus derechos y obligaciones, y si así lo solicita la institución de destino, de las personas de contacto tanto en su institución de origen como en la de destino.  </w:t>
      </w:r>
    </w:p>
    <w:p>
      <w:pPr>
        <w:pStyle w:val="Normal"/>
        <w:numPr>
          <w:ilvl w:val="0"/>
          <w:numId w:val="2"/>
        </w:numPr>
        <w:spacing w:lineRule="auto" w:line="252" w:before="0" w:after="189"/>
        <w:ind w:left="1279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Determinar en detalle el reconocimiento de las asignaturas cursadas y los trabajos que cumpla el/la estudiante al amparo del Programa y su acreditación a título de avance en su carrera, contra presentación del Certificado de Estudios extendido por la universidad de destino.  </w:t>
      </w:r>
    </w:p>
    <w:p>
      <w:pPr>
        <w:pStyle w:val="Heading1"/>
        <w:spacing w:before="0" w:after="0"/>
        <w:ind w:left="569" w:hanging="0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cs="Arial" w:ascii="Arial" w:hAnsi="Arial"/>
          <w:b/>
          <w:color w:val="auto"/>
          <w:sz w:val="22"/>
          <w:szCs w:val="22"/>
          <w:u w:val="single"/>
        </w:rPr>
        <w:t xml:space="preserve">UNIVERSIDAD DE DESTINO  </w:t>
      </w:r>
    </w:p>
    <w:p>
      <w:pPr>
        <w:pStyle w:val="Normal"/>
        <w:numPr>
          <w:ilvl w:val="0"/>
          <w:numId w:val="3"/>
        </w:numPr>
        <w:spacing w:lineRule="auto" w:line="252" w:before="0" w:after="30"/>
        <w:ind w:left="1401" w:hanging="48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Eximir a el/la estudiante extranjero/a del pago de la matrícula  </w:t>
      </w:r>
    </w:p>
    <w:p>
      <w:pPr>
        <w:pStyle w:val="Normal"/>
        <w:numPr>
          <w:ilvl w:val="0"/>
          <w:numId w:val="3"/>
        </w:numPr>
        <w:spacing w:lineRule="auto" w:line="252" w:before="0" w:after="3"/>
        <w:ind w:left="1401" w:hanging="48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Dar a el/la estudiante una sesión informativa de incorporación a la Universidad. </w:t>
      </w:r>
    </w:p>
    <w:p>
      <w:pPr>
        <w:pStyle w:val="Normal"/>
        <w:numPr>
          <w:ilvl w:val="0"/>
          <w:numId w:val="3"/>
        </w:numPr>
        <w:spacing w:lineRule="auto" w:line="252" w:before="0" w:after="3"/>
        <w:ind w:left="1401" w:hanging="48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Brindar el apoyo necesario a los/las estudiantes.  </w:t>
      </w:r>
    </w:p>
    <w:p>
      <w:pPr>
        <w:pStyle w:val="Normal"/>
        <w:spacing w:lineRule="auto" w:line="252" w:before="0" w:after="3"/>
        <w:ind w:left="919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eading1"/>
        <w:spacing w:before="0" w:after="0"/>
        <w:ind w:left="569" w:hanging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cs="Arial" w:ascii="Arial" w:hAnsi="Arial"/>
          <w:b/>
          <w:color w:val="auto"/>
          <w:sz w:val="22"/>
          <w:szCs w:val="22"/>
          <w:u w:val="single"/>
        </w:rPr>
        <w:t xml:space="preserve">ESTUDIANTES </w:t>
      </w:r>
      <w:r>
        <w:rPr>
          <w:rFonts w:cs="Arial" w:ascii="Arial" w:hAnsi="Arial"/>
          <w:b/>
          <w:sz w:val="22"/>
          <w:szCs w:val="22"/>
          <w:u w:val="single"/>
        </w:rPr>
        <w:t xml:space="preserve"> </w:t>
      </w:r>
    </w:p>
    <w:p>
      <w:pPr>
        <w:pStyle w:val="ListParagraph"/>
        <w:numPr>
          <w:ilvl w:val="0"/>
          <w:numId w:val="6"/>
        </w:numPr>
        <w:spacing w:lineRule="auto" w:line="259" w:before="0" w:after="10"/>
        <w:contextualSpacing/>
        <w:jc w:val="both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  <w:t>RESPONSABILIDADES</w:t>
      </w:r>
    </w:p>
    <w:p>
      <w:pPr>
        <w:pStyle w:val="ListParagraph"/>
        <w:spacing w:lineRule="auto" w:line="259" w:before="0" w:after="10"/>
        <w:ind w:left="1999" w:hanging="0"/>
        <w:contextualSpacing/>
        <w:jc w:val="both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numPr>
          <w:ilvl w:val="0"/>
          <w:numId w:val="4"/>
        </w:numPr>
        <w:spacing w:lineRule="auto" w:line="252" w:before="0" w:after="30"/>
        <w:ind w:left="1279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Cumplir con las normas de la institución de destino.  </w:t>
      </w:r>
    </w:p>
    <w:p>
      <w:pPr>
        <w:pStyle w:val="Normal"/>
        <w:numPr>
          <w:ilvl w:val="0"/>
          <w:numId w:val="4"/>
        </w:numPr>
        <w:spacing w:lineRule="auto" w:line="252" w:before="0" w:after="3"/>
        <w:ind w:left="1279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Cumplir con las exigencias académicas, perfiles, habilidades y competencias que se determinen en la convocatoria conforme a las necesidades de la institución de destino.  </w:t>
      </w:r>
    </w:p>
    <w:p>
      <w:pPr>
        <w:pStyle w:val="Normal"/>
        <w:numPr>
          <w:ilvl w:val="0"/>
          <w:numId w:val="4"/>
        </w:numPr>
        <w:spacing w:lineRule="auto" w:line="252" w:before="0" w:after="3"/>
        <w:ind w:left="1279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Cumplir con las exigencias o requisitos necesarios para la regularización y promoción de las asignaturas seleccionadas. Los/las estudiantes de intercambio</w:t>
      </w:r>
    </w:p>
    <w:p>
      <w:pPr>
        <w:pStyle w:val="Normal"/>
        <w:spacing w:before="0" w:after="0"/>
        <w:ind w:left="1318" w:hanging="2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estarán sujetos/as a las mismas condiciones de regularización, promoción y aprobación de materias que el resto de los/as estudiantes.  </w:t>
      </w:r>
    </w:p>
    <w:p>
      <w:pPr>
        <w:pStyle w:val="Normal"/>
        <w:numPr>
          <w:ilvl w:val="0"/>
          <w:numId w:val="4"/>
        </w:numPr>
        <w:spacing w:lineRule="auto" w:line="252" w:before="0" w:after="0"/>
        <w:ind w:left="1279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Cumplir con los requisitos establecidos por su institución de origen para participar en el intercambio.  </w:t>
      </w:r>
    </w:p>
    <w:p>
      <w:pPr>
        <w:pStyle w:val="Normal"/>
        <w:numPr>
          <w:ilvl w:val="0"/>
          <w:numId w:val="4"/>
        </w:numPr>
        <w:spacing w:lineRule="auto" w:line="252" w:before="0" w:after="3"/>
        <w:ind w:left="1279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Desarrollar en la institución de destino las actividades previstas en el plan de trabajo.  </w:t>
      </w:r>
    </w:p>
    <w:p>
      <w:pPr>
        <w:pStyle w:val="Normal"/>
        <w:numPr>
          <w:ilvl w:val="0"/>
          <w:numId w:val="4"/>
        </w:numPr>
        <w:spacing w:lineRule="auto" w:line="252" w:before="0" w:after="3"/>
        <w:ind w:left="1279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Participar en las actividades de seguimiento, control, evaluación y extensión de carácter académico o administrativo establecidas por la institución de origen y de destino para el adecuado desarrollo del intercambio.  </w:t>
      </w:r>
    </w:p>
    <w:p>
      <w:pPr>
        <w:pStyle w:val="Normal"/>
        <w:numPr>
          <w:ilvl w:val="0"/>
          <w:numId w:val="4"/>
        </w:numPr>
        <w:spacing w:lineRule="auto" w:line="252" w:before="0" w:after="3"/>
        <w:ind w:left="1279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Comunicar al responsable de su institución las eventuales modificaciones en el plan de trabajo previamente acordado.  </w:t>
      </w:r>
    </w:p>
    <w:p>
      <w:pPr>
        <w:pStyle w:val="Normal"/>
        <w:numPr>
          <w:ilvl w:val="0"/>
          <w:numId w:val="4"/>
        </w:numPr>
        <w:spacing w:lineRule="auto" w:line="252" w:before="0" w:after="187"/>
        <w:ind w:left="1279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Tener presentes los objetivos del intercambio en todo momento y recordar al mismo tiempo las responsabilidades inherentes a la representación de su institución de origen y de su país de que de hecho quedan investidos, y actuar en consecuencia.  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  <w:t>PARTICIPACIONES OBLIGATORIAS EN PROPUESTAS INTERNACIONALES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ind w:left="993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Durante el desarrollo del intercambio se debe acreditar asistencia a DOS (2) actividades impulsadas desde la Dirección General de Relaciones Internacionales en modalidad virtual o presencial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ind w:left="993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Completar y enviar al correo </w:t>
      </w:r>
      <w:hyperlink r:id="rId2">
        <w:r>
          <w:rPr>
            <w:rStyle w:val="Hyperlink"/>
            <w:rFonts w:eastAsia="Calibri" w:cs="Arial" w:ascii="Arial" w:hAnsi="Arial"/>
          </w:rPr>
          <w:t>Movilidadinternacional@unpaz.edu.ar</w:t>
        </w:r>
      </w:hyperlink>
      <w:r>
        <w:rPr>
          <w:rFonts w:cs="Arial" w:ascii="Arial" w:hAnsi="Arial"/>
        </w:rPr>
        <w:t xml:space="preserve"> la guía de experiencias de movilidad 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ind w:left="993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Ser madrina o padrino de un estudiante de intercambio para acompañar su cursada en UNPAZ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ind w:left="993" w:hanging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Al finalizar el intercambio se solicitará una bitácora (relato escrito) sobre la experiencia </w:t>
      </w:r>
    </w:p>
    <w:p>
      <w:pPr>
        <w:pStyle w:val="ListParagraph"/>
        <w:suppressAutoHyphens w:val="true"/>
        <w:spacing w:lineRule="auto" w:line="240" w:before="0" w:after="0"/>
        <w:ind w:left="993" w:hanging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ListParagraph"/>
        <w:suppressAutoHyphens w:val="true"/>
        <w:spacing w:lineRule="auto" w:line="240" w:before="0" w:after="0"/>
        <w:ind w:left="993" w:hanging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La participación y realización de las actividades</w:t>
      </w:r>
      <w:bookmarkStart w:id="0" w:name="_GoBack"/>
      <w:bookmarkEnd w:id="0"/>
      <w:r>
        <w:rPr>
          <w:rFonts w:eastAsia="Calibri" w:cs="Arial" w:ascii="Arial" w:hAnsi="Arial"/>
        </w:rPr>
        <w:t xml:space="preserve"> será contemplada en el orden de mérito de futuras presentaciones a convocatorias de RRII.</w:t>
      </w:r>
    </w:p>
    <w:p>
      <w:pPr>
        <w:pStyle w:val="ListParagraph"/>
        <w:suppressAutoHyphens w:val="true"/>
        <w:spacing w:lineRule="auto" w:line="240" w:before="0" w:after="0"/>
        <w:ind w:left="993" w:hanging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  <w:t>GESTION DE CONSULTAS ADMINISTRATIVAS: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0"/>
          <w:numId w:val="8"/>
        </w:numPr>
        <w:suppressAutoHyphens w:val="true"/>
        <w:spacing w:lineRule="auto" w:line="240" w:before="0" w:after="0"/>
        <w:ind w:left="1418" w:hanging="36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Todas las dudas y consultas se canalizan mediante el correo: </w:t>
      </w:r>
      <w:hyperlink r:id="rId3">
        <w:r>
          <w:rPr>
            <w:rStyle w:val="Hyperlink"/>
            <w:rFonts w:eastAsia="Calibri" w:cs="Arial" w:ascii="Arial" w:hAnsi="Arial"/>
          </w:rPr>
          <w:t>Movilidadinternacional@unpaz.edu.ar</w:t>
        </w:r>
      </w:hyperlink>
    </w:p>
    <w:p>
      <w:pPr>
        <w:pStyle w:val="Normal"/>
        <w:suppressAutoHyphens w:val="true"/>
        <w:spacing w:lineRule="auto" w:line="240" w:before="0" w:after="0"/>
        <w:ind w:left="1080" w:hanging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ind w:left="851" w:hanging="0"/>
        <w:jc w:val="both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</w:rPr>
        <w:t>Reconocimiento académico de materias aprobadas</w:t>
        <w:br/>
      </w:r>
    </w:p>
    <w:p>
      <w:pPr>
        <w:pStyle w:val="ListParagraph"/>
        <w:numPr>
          <w:ilvl w:val="1"/>
          <w:numId w:val="7"/>
        </w:numPr>
        <w:suppressAutoHyphens w:val="true"/>
        <w:spacing w:lineRule="auto" w:line="24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La Dirección General de Relaciones Internacionales gestionará sin excepción la inscripción a la materia asignada a cada estudiante para el intercambio académico </w:t>
      </w:r>
    </w:p>
    <w:p>
      <w:pPr>
        <w:pStyle w:val="ListParagraph"/>
        <w:numPr>
          <w:ilvl w:val="1"/>
          <w:numId w:val="7"/>
        </w:numPr>
        <w:suppressAutoHyphens w:val="true"/>
        <w:spacing w:lineRule="auto" w:line="24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El reconocimiento de la materia aprobada será gestionado por vía administrativa únicamente en los plazos establecidos en las bases de la convocatoria</w:t>
      </w:r>
    </w:p>
    <w:p>
      <w:pPr>
        <w:pStyle w:val="ListParagraph"/>
        <w:numPr>
          <w:ilvl w:val="1"/>
          <w:numId w:val="7"/>
        </w:numPr>
        <w:suppressAutoHyphens w:val="true"/>
        <w:spacing w:lineRule="auto" w:line="240" w:before="0" w:after="0"/>
        <w:contextualSpacing/>
        <w:jc w:val="both"/>
        <w:rPr>
          <w:rStyle w:val="Hyperlink"/>
          <w:rFonts w:ascii="Arial" w:hAnsi="Arial" w:eastAsia="Calibri" w:cs="Arial"/>
          <w:color w:val="auto"/>
          <w:u w:val="none"/>
        </w:rPr>
      </w:pPr>
      <w:r>
        <w:rPr>
          <w:rStyle w:val="Hyperlink"/>
          <w:rFonts w:eastAsia="Calibri" w:cs="Arial" w:ascii="Arial" w:hAnsi="Arial"/>
          <w:color w:val="auto"/>
          <w:u w:val="none"/>
        </w:rPr>
        <w:t>La Direccion General de Relaciones Internacionales no responderá por la gestión del reconocimiento académico si el/la estudiante solicitara un cambio de la materia asignada en la Universidad de Destino.</w:t>
      </w:r>
    </w:p>
    <w:p>
      <w:pPr>
        <w:pStyle w:val="ListParagraph"/>
        <w:suppressAutoHyphens w:val="true"/>
        <w:spacing w:lineRule="auto" w:line="240" w:before="0" w:after="0"/>
        <w:ind w:left="1440" w:hanging="0"/>
        <w:contextualSpacing/>
        <w:jc w:val="both"/>
        <w:rPr>
          <w:rStyle w:val="Hyperlink"/>
          <w:rFonts w:ascii="Arial" w:hAnsi="Arial" w:eastAsia="Calibri" w:cs="Arial"/>
          <w:color w:val="auto"/>
          <w:u w:val="none"/>
        </w:rPr>
      </w:pPr>
      <w:r>
        <w:rPr>
          <w:rFonts w:eastAsia="Calibri" w:cs="Arial" w:ascii="Arial" w:hAnsi="Arial"/>
          <w:color w:val="auto"/>
          <w:u w:val="none"/>
        </w:rPr>
      </w:r>
    </w:p>
    <w:p>
      <w:pPr>
        <w:pStyle w:val="ListParagraph"/>
        <w:suppressAutoHyphens w:val="true"/>
        <w:spacing w:lineRule="auto" w:line="240" w:before="0" w:after="0"/>
        <w:ind w:left="1440" w:hanging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1985" w:hanging="360"/>
        <w:contextualSpacing/>
        <w:jc w:val="both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  <w:t>FUNCIONAMIENTO DEL INTERCAMBIO ACADÉMICO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0"/>
          <w:numId w:val="9"/>
        </w:numPr>
        <w:suppressAutoHyphens w:val="true"/>
        <w:spacing w:lineRule="auto" w:line="240" w:before="0" w:after="0"/>
        <w:ind w:left="1276" w:hanging="36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El inicio y el desarrollo de la cursada será acompañado por la Dirección General de Relaciones Internacionales</w:t>
      </w:r>
    </w:p>
    <w:p>
      <w:pPr>
        <w:pStyle w:val="ListParagraph"/>
        <w:numPr>
          <w:ilvl w:val="0"/>
          <w:numId w:val="9"/>
        </w:numPr>
        <w:suppressAutoHyphens w:val="true"/>
        <w:spacing w:lineRule="auto" w:line="240" w:before="0" w:after="0"/>
        <w:ind w:left="1276" w:hanging="36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Todas las consultas deben realizarse por correo electrónico dirigido a </w:t>
      </w:r>
      <w:hyperlink r:id="rId4">
        <w:r>
          <w:rPr>
            <w:rStyle w:val="Hyperlink"/>
            <w:rFonts w:eastAsia="Calibri" w:cs="Arial" w:ascii="Arial" w:hAnsi="Arial"/>
          </w:rPr>
          <w:t>Movilidadinternacional@unpaz.edu.ar</w:t>
        </w:r>
      </w:hyperlink>
      <w:r>
        <w:rPr>
          <w:rFonts w:eastAsia="Calibri" w:cs="Arial" w:ascii="Arial" w:hAnsi="Arial"/>
        </w:rPr>
        <w:t xml:space="preserve"> con copia al correo de la universidad de destino, y serán respondidos de lunes a viernes de 09:00 am a 18:00 pm. </w:t>
      </w:r>
    </w:p>
    <w:p>
      <w:pPr>
        <w:pStyle w:val="ListParagraph"/>
        <w:numPr>
          <w:ilvl w:val="0"/>
          <w:numId w:val="9"/>
        </w:numPr>
        <w:suppressAutoHyphens w:val="true"/>
        <w:spacing w:lineRule="auto" w:line="240" w:before="0" w:after="0"/>
        <w:ind w:left="1276" w:hanging="36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Consideraciones a tener en cuenta sobre las universidades de destino</w:t>
      </w:r>
    </w:p>
    <w:p>
      <w:pPr>
        <w:pStyle w:val="ListParagraph"/>
        <w:spacing w:lineRule="auto" w:line="24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ListParagraph"/>
        <w:numPr>
          <w:ilvl w:val="0"/>
          <w:numId w:val="11"/>
        </w:numPr>
        <w:suppressAutoHyphens w:val="true"/>
        <w:spacing w:lineRule="auto" w:line="240" w:before="0" w:after="0"/>
        <w:ind w:left="1276" w:hanging="36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Diferencia horaria: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6120" w:type="dxa"/>
        <w:jc w:val="left"/>
        <w:tblInd w:w="70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 w:noHBand="0" w:noVBand="1" w:firstColumn="1" w:lastRow="0" w:lastColumn="0" w:firstRow="1"/>
      </w:tblPr>
      <w:tblGrid>
        <w:gridCol w:w="2000"/>
        <w:gridCol w:w="2919"/>
        <w:gridCol w:w="1201"/>
      </w:tblGrid>
      <w:tr>
        <w:trPr>
          <w:trHeight w:val="315" w:hRule="atLeast"/>
        </w:trPr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Cs/>
                <w:color w:val="000000"/>
                <w:lang w:val="es-AR" w:eastAsia="es-A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val="es-AR" w:eastAsia="es-AR"/>
              </w:rPr>
              <w:t>DIFERENCIA HORARIA CON ARGENTINA</w:t>
            </w:r>
          </w:p>
        </w:tc>
      </w:tr>
      <w:tr>
        <w:trPr>
          <w:trHeight w:val="315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Cs/>
                <w:color w:val="000000"/>
                <w:lang w:val="es-AR" w:eastAsia="es-A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val="es-AR" w:eastAsia="es-AR"/>
              </w:rPr>
              <w:t>País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Cs/>
                <w:color w:val="000000"/>
                <w:lang w:val="es-AR" w:eastAsia="es-A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val="es-AR" w:eastAsia="es-AR"/>
              </w:rPr>
              <w:t>Ciudad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Cs/>
                <w:color w:val="000000"/>
                <w:lang w:val="es-AR" w:eastAsia="es-A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val="es-AR" w:eastAsia="es-AR"/>
              </w:rPr>
              <w:t>Hora</w:t>
            </w:r>
          </w:p>
        </w:tc>
      </w:tr>
      <w:tr>
        <w:trPr>
          <w:trHeight w:val="315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lang w:val="es-AR" w:eastAsia="es-AR"/>
              </w:rPr>
            </w:pPr>
            <w:r>
              <w:rPr>
                <w:rFonts w:eastAsia="Times New Roman" w:cs="Arial" w:ascii="Arial" w:hAnsi="Arial"/>
                <w:color w:val="000000"/>
                <w:lang w:val="es-AR" w:eastAsia="es-AR"/>
              </w:rPr>
              <w:t>Brasil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lang w:val="es-AR" w:eastAsia="es-AR"/>
              </w:rPr>
            </w:pPr>
            <w:r>
              <w:rPr>
                <w:rFonts w:eastAsia="Times New Roman" w:cs="Arial" w:ascii="Arial" w:hAnsi="Arial"/>
                <w:color w:val="000000"/>
                <w:lang w:val="es-AR" w:eastAsia="es-AR"/>
              </w:rPr>
              <w:t>Sao Paulo/Río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lang w:val="es-AR" w:eastAsia="es-AR"/>
              </w:rPr>
            </w:pPr>
            <w:r>
              <w:rPr>
                <w:rFonts w:eastAsia="Times New Roman" w:cs="Arial" w:ascii="Arial" w:hAnsi="Arial"/>
                <w:color w:val="000000"/>
                <w:lang w:val="es-AR" w:eastAsia="es-AR"/>
              </w:rPr>
              <w:t>0 horas</w:t>
            </w:r>
          </w:p>
        </w:tc>
      </w:tr>
      <w:tr>
        <w:trPr>
          <w:trHeight w:val="315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lang w:val="es-AR" w:eastAsia="es-AR"/>
              </w:rPr>
            </w:pPr>
            <w:r>
              <w:rPr>
                <w:rFonts w:eastAsia="Times New Roman" w:cs="Arial" w:ascii="Arial" w:hAnsi="Arial"/>
                <w:color w:val="000000"/>
                <w:lang w:val="es-AR" w:eastAsia="es-AR"/>
              </w:rPr>
              <w:t>Colombia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lang w:val="es-AR" w:eastAsia="es-AR"/>
              </w:rPr>
            </w:pPr>
            <w:r>
              <w:rPr>
                <w:rFonts w:eastAsia="Times New Roman" w:cs="Arial" w:ascii="Arial" w:hAnsi="Arial"/>
                <w:color w:val="000000"/>
                <w:lang w:val="es-AR" w:eastAsia="es-AR"/>
              </w:rPr>
              <w:t>Medellín/Bogotá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lang w:val="es-AR" w:eastAsia="es-AR"/>
              </w:rPr>
            </w:pPr>
            <w:r>
              <w:rPr>
                <w:rFonts w:eastAsia="Times New Roman" w:cs="Arial" w:ascii="Arial" w:hAnsi="Arial"/>
                <w:color w:val="000000"/>
                <w:lang w:val="es-AR" w:eastAsia="es-AR"/>
              </w:rPr>
              <w:t>-2 horas</w:t>
            </w:r>
          </w:p>
        </w:tc>
      </w:tr>
      <w:tr>
        <w:trPr>
          <w:trHeight w:val="285" w:hRule="atLeast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lang w:val="es-AR" w:eastAsia="es-AR"/>
              </w:rPr>
            </w:pPr>
            <w:r>
              <w:rPr>
                <w:rFonts w:eastAsia="Times New Roman" w:cs="Arial" w:ascii="Arial" w:hAnsi="Arial"/>
                <w:color w:val="000000"/>
                <w:lang w:val="es-AR" w:eastAsia="es-AR"/>
              </w:rPr>
              <w:t>México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lang w:val="es-AR" w:eastAsia="es-AR"/>
              </w:rPr>
            </w:pPr>
            <w:r>
              <w:rPr>
                <w:rFonts w:eastAsia="Times New Roman" w:cs="Arial" w:ascii="Arial" w:hAnsi="Arial"/>
                <w:color w:val="000000"/>
                <w:lang w:val="es-AR" w:eastAsia="es-AR"/>
              </w:rPr>
              <w:t>Sonora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lang w:val="es-AR" w:eastAsia="es-AR"/>
              </w:rPr>
            </w:pPr>
            <w:r>
              <w:rPr>
                <w:rFonts w:eastAsia="Times New Roman" w:cs="Arial" w:ascii="Arial" w:hAnsi="Arial"/>
                <w:color w:val="000000"/>
                <w:lang w:val="es-AR" w:eastAsia="es-AR"/>
              </w:rPr>
              <w:t>-4 horas</w:t>
            </w:r>
          </w:p>
        </w:tc>
      </w:tr>
      <w:tr>
        <w:trPr>
          <w:trHeight w:val="285" w:hRule="atLeast"/>
        </w:trPr>
        <w:tc>
          <w:tcPr>
            <w:tcW w:w="20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lang w:val="es-AR" w:eastAsia="es-AR"/>
              </w:rPr>
            </w:pPr>
            <w:r>
              <w:rPr>
                <w:rFonts w:eastAsia="Times New Roman" w:cs="Arial" w:ascii="Arial" w:hAnsi="Arial"/>
                <w:color w:val="000000"/>
                <w:lang w:val="es-AR" w:eastAsia="es-AR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lang w:val="es-AR" w:eastAsia="es-AR"/>
              </w:rPr>
            </w:pPr>
            <w:r>
              <w:rPr>
                <w:rFonts w:eastAsia="Times New Roman" w:cs="Arial" w:ascii="Arial" w:hAnsi="Arial"/>
                <w:color w:val="000000"/>
                <w:lang w:val="es-AR" w:eastAsia="es-AR"/>
              </w:rPr>
              <w:t>Colima/DF/Hidalgo/Yucatán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lang w:val="es-AR" w:eastAsia="es-AR"/>
              </w:rPr>
            </w:pPr>
            <w:r>
              <w:rPr>
                <w:rFonts w:eastAsia="Times New Roman" w:cs="Arial" w:ascii="Arial" w:hAnsi="Arial"/>
                <w:color w:val="000000"/>
                <w:lang w:val="es-AR" w:eastAsia="es-AR"/>
              </w:rPr>
              <w:t>-3 horas</w:t>
            </w:r>
          </w:p>
        </w:tc>
      </w:tr>
      <w:tr>
        <w:trPr>
          <w:trHeight w:val="285" w:hRule="atLeast"/>
        </w:trPr>
        <w:tc>
          <w:tcPr>
            <w:tcW w:w="20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lang w:val="es-AR" w:eastAsia="es-AR"/>
              </w:rPr>
            </w:pPr>
            <w:r>
              <w:rPr>
                <w:rFonts w:eastAsia="Times New Roman" w:cs="Arial" w:ascii="Arial" w:hAnsi="Arial"/>
                <w:color w:val="000000"/>
                <w:lang w:val="es-AR" w:eastAsia="es-AR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lang w:val="es-AR" w:eastAsia="es-AR"/>
              </w:rPr>
            </w:pPr>
            <w:r>
              <w:rPr>
                <w:rFonts w:eastAsia="Times New Roman" w:cs="Arial" w:ascii="Arial" w:hAnsi="Arial"/>
                <w:color w:val="000000"/>
                <w:lang w:val="es-AR" w:eastAsia="es-AR"/>
              </w:rPr>
              <w:t>Ciudad de Juárez/Cancún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lang w:val="es-AR" w:eastAsia="es-AR"/>
              </w:rPr>
            </w:pPr>
            <w:r>
              <w:rPr>
                <w:rFonts w:eastAsia="Times New Roman" w:cs="Arial" w:ascii="Arial" w:hAnsi="Arial"/>
                <w:color w:val="000000"/>
                <w:lang w:val="es-AR" w:eastAsia="es-AR"/>
              </w:rPr>
              <w:t>-2 horas</w:t>
            </w:r>
          </w:p>
        </w:tc>
      </w:tr>
      <w:tr>
        <w:trPr>
          <w:trHeight w:val="285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lang w:val="es-AR" w:eastAsia="es-AR"/>
              </w:rPr>
            </w:pPr>
            <w:r>
              <w:rPr>
                <w:rFonts w:eastAsia="Times New Roman" w:cs="Arial" w:ascii="Arial" w:hAnsi="Arial"/>
                <w:color w:val="000000"/>
                <w:lang w:val="es-AR" w:eastAsia="es-AR"/>
              </w:rPr>
              <w:t>Nicaragua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lang w:val="es-AR" w:eastAsia="es-AR"/>
              </w:rPr>
            </w:pPr>
            <w:r>
              <w:rPr>
                <w:rFonts w:eastAsia="Times New Roman" w:cs="Arial" w:ascii="Arial" w:hAnsi="Arial"/>
                <w:color w:val="000000"/>
                <w:lang w:val="es-AR" w:eastAsia="es-AR"/>
              </w:rPr>
              <w:t>Managua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lang w:val="es-AR" w:eastAsia="es-AR"/>
              </w:rPr>
            </w:pPr>
            <w:r>
              <w:rPr>
                <w:rFonts w:eastAsia="Times New Roman" w:cs="Arial" w:ascii="Arial" w:hAnsi="Arial"/>
                <w:color w:val="000000"/>
                <w:lang w:val="es-AR" w:eastAsia="es-AR"/>
              </w:rPr>
              <w:t>-3 horas</w:t>
            </w:r>
          </w:p>
        </w:tc>
      </w:tr>
      <w:tr>
        <w:trPr>
          <w:trHeight w:val="285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lang w:val="es-AR" w:eastAsia="es-AR"/>
              </w:rPr>
            </w:pPr>
            <w:r>
              <w:rPr>
                <w:rFonts w:eastAsia="Times New Roman" w:cs="Arial" w:ascii="Arial" w:hAnsi="Arial"/>
                <w:color w:val="000000"/>
                <w:lang w:val="es-AR" w:eastAsia="es-AR"/>
              </w:rPr>
              <w:t>Perú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lang w:val="es-AR" w:eastAsia="es-AR"/>
              </w:rPr>
            </w:pPr>
            <w:r>
              <w:rPr>
                <w:rFonts w:eastAsia="Times New Roman" w:cs="Arial" w:ascii="Arial" w:hAnsi="Arial"/>
                <w:color w:val="000000"/>
                <w:lang w:val="es-AR" w:eastAsia="es-AR"/>
              </w:rPr>
              <w:t>Lima/Cusco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lang w:val="es-AR" w:eastAsia="es-AR"/>
              </w:rPr>
            </w:pPr>
            <w:r>
              <w:rPr>
                <w:rFonts w:eastAsia="Times New Roman" w:cs="Arial" w:ascii="Arial" w:hAnsi="Arial"/>
                <w:color w:val="000000"/>
                <w:lang w:val="es-AR" w:eastAsia="es-AR"/>
              </w:rPr>
              <w:t>-2 horas</w:t>
            </w:r>
          </w:p>
        </w:tc>
      </w:tr>
      <w:tr>
        <w:trPr>
          <w:trHeight w:val="315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lang w:val="es-AR" w:eastAsia="es-AR"/>
              </w:rPr>
            </w:pPr>
            <w:r>
              <w:rPr>
                <w:rFonts w:eastAsia="Times New Roman" w:cs="Arial" w:ascii="Arial" w:hAnsi="Arial"/>
                <w:color w:val="000000"/>
                <w:lang w:val="es-AR" w:eastAsia="es-AR"/>
              </w:rPr>
              <w:t>Uruguay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lang w:val="es-AR" w:eastAsia="es-AR"/>
              </w:rPr>
            </w:pPr>
            <w:r>
              <w:rPr>
                <w:rFonts w:eastAsia="Times New Roman" w:cs="Arial" w:ascii="Arial" w:hAnsi="Arial"/>
                <w:color w:val="000000"/>
                <w:lang w:val="es-AR" w:eastAsia="es-AR"/>
              </w:rPr>
              <w:t>Montevideo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lang w:val="es-AR" w:eastAsia="es-AR"/>
              </w:rPr>
            </w:pPr>
            <w:r>
              <w:rPr>
                <w:rFonts w:eastAsia="Times New Roman" w:cs="Arial" w:ascii="Arial" w:hAnsi="Arial"/>
                <w:color w:val="000000"/>
                <w:lang w:val="es-AR" w:eastAsia="es-AR"/>
              </w:rPr>
              <w:t>0 horas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240" w:before="0" w:after="0"/>
        <w:ind w:left="1276" w:hanging="360"/>
        <w:contextualSpacing/>
        <w:jc w:val="both"/>
        <w:rPr>
          <w:rFonts w:ascii="Arial" w:hAnsi="Arial" w:eastAsia="Times New Roman" w:cs="Arial"/>
          <w:color w:val="222222"/>
          <w:sz w:val="24"/>
          <w:szCs w:val="24"/>
          <w:lang w:val="es-AR" w:eastAsia="es-AR"/>
        </w:rPr>
      </w:pPr>
      <w:r>
        <w:rPr>
          <w:rFonts w:eastAsia="Calibri" w:cs="Arial" w:ascii="Arial" w:hAnsi="Arial"/>
        </w:rPr>
        <w:t>Períodos del intercambio virtual: Se sugiere descargarse el calendario académico con la referencia de fechas festivas y feriados</w:t>
      </w:r>
    </w:p>
    <w:p>
      <w:pPr>
        <w:pStyle w:val="ListParagraph"/>
        <w:spacing w:lineRule="auto" w:line="24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ListParagraph"/>
        <w:numPr>
          <w:ilvl w:val="0"/>
          <w:numId w:val="9"/>
        </w:numPr>
        <w:suppressAutoHyphens w:val="true"/>
        <w:spacing w:lineRule="auto" w:line="240" w:before="0" w:after="0"/>
        <w:ind w:left="1276" w:hanging="36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Las asignaciones de comisión, día y horario de la cursada son definidos por la universidad de destino, ante cualquier consulta:</w:t>
      </w:r>
    </w:p>
    <w:p>
      <w:pPr>
        <w:pStyle w:val="ListParagraph"/>
        <w:numPr>
          <w:ilvl w:val="0"/>
          <w:numId w:val="10"/>
        </w:numPr>
        <w:suppressAutoHyphens w:val="true"/>
        <w:spacing w:lineRule="auto" w:line="240" w:before="0" w:after="0"/>
        <w:ind w:left="1985" w:hanging="360"/>
        <w:contextualSpacing/>
        <w:jc w:val="both"/>
        <w:rPr>
          <w:rFonts w:ascii="Arial" w:hAnsi="Arial" w:eastAsia="Calibri" w:cs="Arial"/>
          <w:color w:themeColor="text1" w:val="000000"/>
        </w:rPr>
      </w:pPr>
      <w:r>
        <w:rPr>
          <w:rFonts w:eastAsia="Calibri" w:cs="Arial" w:ascii="Arial" w:hAnsi="Arial"/>
        </w:rPr>
        <w:t xml:space="preserve">Enviar un correo a </w:t>
      </w:r>
      <w:hyperlink r:id="rId5">
        <w:r>
          <w:rPr>
            <w:rStyle w:val="Hyperlink"/>
            <w:rFonts w:eastAsia="Calibri" w:cs="Arial" w:ascii="Arial" w:hAnsi="Arial"/>
          </w:rPr>
          <w:t>Movilidadinternacional@unpaz.edu.ar</w:t>
        </w:r>
      </w:hyperlink>
      <w:r>
        <w:rPr>
          <w:rStyle w:val="Hyperlink"/>
          <w:rFonts w:eastAsia="Calibri" w:cs="Arial" w:ascii="Arial" w:hAnsi="Arial"/>
          <w:u w:val="none"/>
        </w:rPr>
        <w:t xml:space="preserve"> </w:t>
      </w:r>
      <w:r>
        <w:rPr>
          <w:rStyle w:val="Hyperlink"/>
          <w:rFonts w:eastAsia="Calibri" w:cs="Arial" w:ascii="Arial" w:hAnsi="Arial"/>
          <w:color w:themeColor="text1" w:val="000000"/>
          <w:u w:val="none"/>
        </w:rPr>
        <w:t>y c</w:t>
      </w:r>
      <w:r>
        <w:rPr>
          <w:rFonts w:eastAsia="Calibri" w:cs="Arial" w:ascii="Arial" w:hAnsi="Arial"/>
          <w:color w:themeColor="text1" w:val="000000"/>
        </w:rPr>
        <w:t>ontactar al docente mediante el campus o plataforma disponible.</w:t>
      </w:r>
    </w:p>
    <w:p>
      <w:pPr>
        <w:pStyle w:val="Heading1"/>
        <w:ind w:left="569" w:hanging="0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cs="Arial" w:ascii="Arial" w:hAnsi="Arial"/>
          <w:b/>
          <w:color w:val="auto"/>
          <w:sz w:val="22"/>
          <w:szCs w:val="22"/>
          <w:u w:val="single"/>
        </w:rPr>
        <w:t xml:space="preserve">TABLA DE CALIFICACIONES- UNPAZ- ARGENTINA  </w:t>
      </w:r>
    </w:p>
    <w:p>
      <w:pPr>
        <w:pStyle w:val="Normal"/>
        <w:spacing w:lineRule="auto" w:line="259" w:before="0" w:after="27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 xml:space="preserve"> </w:t>
      </w:r>
    </w:p>
    <w:p>
      <w:pPr>
        <w:pStyle w:val="Normal"/>
        <w:numPr>
          <w:ilvl w:val="0"/>
          <w:numId w:val="5"/>
        </w:numPr>
        <w:spacing w:lineRule="auto" w:line="252" w:before="0" w:after="3"/>
        <w:ind w:left="828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Los estudios realizados en la Universidad de destino serán reconocidos en la Universidad de origen de acuerdo con la normativa propia de cada Institución.  </w:t>
      </w:r>
    </w:p>
    <w:p>
      <w:pPr>
        <w:pStyle w:val="Normal"/>
        <w:numPr>
          <w:ilvl w:val="0"/>
          <w:numId w:val="5"/>
        </w:numPr>
        <w:spacing w:lineRule="auto" w:line="252" w:before="0" w:after="3"/>
        <w:ind w:left="828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En la Universidad de José Clemente Paz, todas las clases son evaluadas en una escala de 1 a 10 puntos siendo 4 la calificación mínima aprobatoria y 10 la calificación máxima.  - La tabla de referencia será la siguiente:</w:t>
      </w:r>
    </w:p>
    <w:p>
      <w:pPr>
        <w:pStyle w:val="Normal"/>
        <w:spacing w:lineRule="auto" w:line="252" w:before="0" w:after="3"/>
        <w:ind w:left="828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leGrid"/>
        <w:tblW w:w="4076" w:type="dxa"/>
        <w:jc w:val="left"/>
        <w:tblInd w:w="1661" w:type="dxa"/>
        <w:tblLayout w:type="fixed"/>
        <w:tblCellMar>
          <w:top w:w="4" w:type="dxa"/>
          <w:left w:w="106" w:type="dxa"/>
          <w:bottom w:w="0" w:type="dxa"/>
          <w:right w:w="56" w:type="dxa"/>
        </w:tblCellMar>
        <w:tblLook w:val="04a0" w:noHBand="0" w:noVBand="1" w:firstColumn="1" w:lastRow="0" w:lastColumn="0" w:firstRow="1"/>
      </w:tblPr>
      <w:tblGrid>
        <w:gridCol w:w="1951"/>
        <w:gridCol w:w="2124"/>
      </w:tblGrid>
      <w:tr>
        <w:trPr>
          <w:trHeight w:val="283" w:hRule="atLeast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ind w:left="3" w:right="0" w:hanging="0"/>
              <w:jc w:val="both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s-AR" w:eastAsia="es-AR" w:bidi="ar-SA"/>
              </w:rPr>
              <w:t xml:space="preserve">Universidad Nacional de José C. Paz  </w:t>
            </w:r>
          </w:p>
        </w:tc>
      </w:tr>
      <w:tr>
        <w:trPr>
          <w:trHeight w:val="283" w:hRule="atLeast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ind w:left="3" w:right="0" w:hanging="0"/>
              <w:jc w:val="both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s-AR" w:eastAsia="es-AR" w:bidi="ar-SA"/>
              </w:rPr>
              <w:t xml:space="preserve">0,1,2 y 3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s-AR" w:eastAsia="es-AR" w:bidi="ar-SA"/>
              </w:rPr>
              <w:t xml:space="preserve">DESAPROBADO  </w:t>
            </w:r>
          </w:p>
        </w:tc>
      </w:tr>
      <w:tr>
        <w:trPr>
          <w:trHeight w:val="283" w:hRule="atLeast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ind w:left="3" w:right="0" w:hanging="0"/>
              <w:jc w:val="both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s-AR" w:eastAsia="es-AR" w:bidi="ar-SA"/>
              </w:rPr>
              <w:t xml:space="preserve">4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s-AR" w:eastAsia="es-AR" w:bidi="ar-SA"/>
              </w:rPr>
              <w:t xml:space="preserve">SUFICIENTE  </w:t>
            </w:r>
          </w:p>
        </w:tc>
      </w:tr>
      <w:tr>
        <w:trPr>
          <w:trHeight w:val="283" w:hRule="atLeast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ind w:left="3" w:right="0" w:hanging="0"/>
              <w:jc w:val="both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s-AR" w:eastAsia="es-AR" w:bidi="ar-SA"/>
              </w:rPr>
              <w:t xml:space="preserve">5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s-AR" w:eastAsia="es-AR" w:bidi="ar-SA"/>
              </w:rPr>
              <w:t xml:space="preserve">REGULAR  </w:t>
            </w:r>
          </w:p>
        </w:tc>
      </w:tr>
      <w:tr>
        <w:trPr>
          <w:trHeight w:val="281" w:hRule="atLeast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ind w:left="3" w:right="0" w:hanging="0"/>
              <w:jc w:val="both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s-AR" w:eastAsia="es-AR" w:bidi="ar-SA"/>
              </w:rPr>
              <w:t xml:space="preserve">6 y 7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s-AR" w:eastAsia="es-AR" w:bidi="ar-SA"/>
              </w:rPr>
              <w:t xml:space="preserve">BUENO  </w:t>
            </w:r>
          </w:p>
        </w:tc>
      </w:tr>
      <w:tr>
        <w:trPr>
          <w:trHeight w:val="283" w:hRule="atLeast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ind w:left="3" w:right="0" w:hanging="0"/>
              <w:jc w:val="both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s-AR" w:eastAsia="es-AR" w:bidi="ar-SA"/>
              </w:rPr>
              <w:t xml:space="preserve">8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s-AR" w:eastAsia="es-AR" w:bidi="ar-SA"/>
              </w:rPr>
              <w:t xml:space="preserve">MUY BUENO  </w:t>
            </w:r>
          </w:p>
        </w:tc>
      </w:tr>
      <w:tr>
        <w:trPr>
          <w:trHeight w:val="283" w:hRule="atLeast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ind w:left="3" w:right="0" w:hanging="0"/>
              <w:jc w:val="both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s-AR" w:eastAsia="es-AR" w:bidi="ar-SA"/>
              </w:rPr>
              <w:t xml:space="preserve">9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s-AR" w:eastAsia="es-AR" w:bidi="ar-SA"/>
              </w:rPr>
              <w:t xml:space="preserve">DISTINGUIDO  </w:t>
            </w:r>
          </w:p>
        </w:tc>
      </w:tr>
      <w:tr>
        <w:trPr>
          <w:trHeight w:val="283" w:hRule="atLeast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ind w:left="3" w:right="0" w:hanging="0"/>
              <w:jc w:val="both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s-AR" w:eastAsia="es-AR" w:bidi="ar-SA"/>
              </w:rPr>
              <w:t xml:space="preserve">10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s-AR" w:eastAsia="es-AR" w:bidi="ar-SA"/>
              </w:rPr>
              <w:t xml:space="preserve">SOBRESALIENTE  </w:t>
            </w:r>
          </w:p>
        </w:tc>
      </w:tr>
    </w:tbl>
    <w:p>
      <w:pPr>
        <w:pStyle w:val="Normal"/>
        <w:spacing w:lineRule="auto" w:line="259" w:before="0" w:after="0"/>
        <w:ind w:right="330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                                                          </w:t>
      </w:r>
      <w:r>
        <w:rPr>
          <w:rFonts w:eastAsia="Calibri" w:cs="Arial" w:ascii="Arial" w:hAnsi="Arial"/>
        </w:rPr>
        <w:t>.</w:t>
      </w:r>
    </w:p>
    <w:sectPr>
      <w:headerReference w:type="default" r:id="rId6"/>
      <w:footerReference w:type="even" r:id="rId7"/>
      <w:footerReference w:type="default" r:id="rId8"/>
      <w:footerReference w:type="first" r:id="rId9"/>
      <w:type w:val="nextPage"/>
      <w:pgSz w:w="11906" w:h="16838"/>
      <w:pgMar w:left="2268" w:right="567" w:gutter="0" w:header="567" w:top="2835" w:footer="567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drawing>
        <wp:inline distT="0" distB="0" distL="0" distR="0">
          <wp:extent cx="5758180" cy="234950"/>
          <wp:effectExtent l="0" t="0" r="0" b="0"/>
          <wp:docPr id="4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7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ind w:left="-142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2" wp14:anchorId="5213C26A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547370"/>
              <wp:effectExtent l="0" t="0" r="0" b="0"/>
              <wp:wrapNone/>
              <wp:docPr id="1" name="Cuadro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388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Web"/>
                            <w:spacing w:before="0" w:after="280"/>
                            <w:jc w:val="right"/>
                            <w:rPr>
                              <w:rFonts w:ascii="Calibri" w:hAnsi="Calibri" w:cs="Calibri" w:asciiTheme="minorHAnsi" w:cstheme="minorHAnsi" w:hAnsiTheme="minorHAnsi"/>
                              <w:color w:themeColor="background1" w:themeShade="80"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 w:ascii="Calibri" w:hAnsi="Calibri" w:asciiTheme="minorHAnsi" w:cstheme="minorHAnsi" w:hAnsiTheme="minorHAnsi"/>
                              <w:b/>
                              <w:bCs/>
                              <w:color w:themeColor="background1" w:themeShade="80" w:val="808080"/>
                              <w:sz w:val="18"/>
                              <w:szCs w:val="18"/>
                            </w:rPr>
                            <w:t>“</w:t>
                          </w:r>
                          <w:r>
                            <w:rPr>
                              <w:rFonts w:cs="Calibri" w:ascii="Calibri" w:hAnsi="Calibri" w:asciiTheme="minorHAnsi" w:cstheme="minorHAnsi" w:hAnsiTheme="minorHAnsi"/>
                              <w:b/>
                              <w:bCs/>
                              <w:color w:themeColor="background1" w:themeShade="80" w:val="808080"/>
                              <w:sz w:val="18"/>
                              <w:szCs w:val="18"/>
                            </w:rPr>
                            <w:t xml:space="preserve">1983/2023 - 40 AÑOS DE DEMOCRACIA” </w:t>
                          </w:r>
                        </w:p>
                        <w:p>
                          <w:pPr>
                            <w:pStyle w:val="Contenidodelmarco"/>
                            <w:spacing w:before="0" w:after="200"/>
                            <w:jc w:val="right"/>
                            <w:rPr>
                              <w:b/>
                              <w:color w:themeColor="text1" w:themeTint="80"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themeColor="text1" w:themeTint="80" w:val="7F7F7F"/>
                              <w:sz w:val="18"/>
                              <w:szCs w:val="18"/>
                            </w:rPr>
                          </w:r>
                        </w:p>
                      </w:txbxContent>
                    </wps:txbx>
                    <wps:bodyPr anchor="t"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Cuadro de texto 2" path="m0,0l-2147483645,0l-2147483645,-2147483646l0,-2147483646xe" stroked="f" o:allowincell="f" style="position:absolute;margin-left:128.1pt;margin-top:6.9pt;width:325.45pt;height:43.05pt;mso-wrap-style:square;v-text-anchor:top" wp14:anchorId="5213C26A">
              <v:fill o:detectmouseclick="t" on="false"/>
              <v:stroke color="#3465a4" weight="9360" joinstyle="round" endcap="flat"/>
              <v:textbox>
                <w:txbxContent>
                  <w:p>
                    <w:pPr>
                      <w:pStyle w:val="NormalWeb"/>
                      <w:spacing w:before="0" w:after="280"/>
                      <w:jc w:val="right"/>
                      <w:rPr>
                        <w:rFonts w:ascii="Calibri" w:hAnsi="Calibri" w:cs="Calibri" w:asciiTheme="minorHAnsi" w:cstheme="minorHAnsi" w:hAnsiTheme="minorHAnsi"/>
                        <w:color w:themeColor="background1" w:themeShade="80" w:val="808080"/>
                        <w:sz w:val="18"/>
                        <w:szCs w:val="18"/>
                      </w:rPr>
                    </w:pPr>
                    <w:r>
                      <w:rPr>
                        <w:rFonts w:cs="Calibri" w:ascii="Calibri" w:hAnsi="Calibri" w:asciiTheme="minorHAnsi" w:cstheme="minorHAnsi" w:hAnsiTheme="minorHAnsi"/>
                        <w:b/>
                        <w:bCs/>
                        <w:color w:themeColor="background1" w:themeShade="80" w:val="808080"/>
                        <w:sz w:val="18"/>
                        <w:szCs w:val="18"/>
                      </w:rPr>
                      <w:t>“</w:t>
                    </w:r>
                    <w:r>
                      <w:rPr>
                        <w:rFonts w:cs="Calibri" w:ascii="Calibri" w:hAnsi="Calibri" w:asciiTheme="minorHAnsi" w:cstheme="minorHAnsi" w:hAnsiTheme="minorHAnsi"/>
                        <w:b/>
                        <w:bCs/>
                        <w:color w:themeColor="background1" w:themeShade="80" w:val="808080"/>
                        <w:sz w:val="18"/>
                        <w:szCs w:val="18"/>
                      </w:rPr>
                      <w:t xml:space="preserve">1983/2023 - 40 AÑOS DE DEMOCRACIA” </w:t>
                    </w:r>
                  </w:p>
                  <w:p>
                    <w:pPr>
                      <w:pStyle w:val="Contenidodelmarco"/>
                      <w:spacing w:before="0" w:after="200"/>
                      <w:jc w:val="right"/>
                      <w:rPr>
                        <w:b/>
                        <w:color w:themeColor="text1" w:themeTint="80" w:val="7F7F7F"/>
                        <w:sz w:val="18"/>
                        <w:szCs w:val="18"/>
                      </w:rPr>
                    </w:pPr>
                    <w:r>
                      <w:rPr>
                        <w:b/>
                        <w:color w:themeColor="text1" w:themeTint="80" w:val="7F7F7F"/>
                        <w:sz w:val="18"/>
                        <w:szCs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1697990" cy="551815"/>
          <wp:effectExtent l="0" t="0" r="0" b="0"/>
          <wp:docPr id="2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tabs>
        <w:tab w:val="left" w:pos="2374" w:leader="none"/>
        <w:tab w:val="center" w:pos="4252" w:leader="none"/>
        <w:tab w:val="right" w:pos="8504" w:leader="none"/>
        <w:tab w:val="right" w:pos="9071" w:leader="none"/>
      </w:tabs>
      <w:rPr>
        <w:sz w:val="18"/>
        <w:szCs w:val="18"/>
      </w:rPr>
    </w:pPr>
    <w:r>
      <w:rPr>
        <w:sz w:val="18"/>
        <w:szCs w:val="18"/>
      </w:rPr>
      <mc:AlternateContent>
        <mc:Choice Requires="wps">
          <w:drawing>
            <wp:anchor behindDoc="1" distT="14605" distB="14605" distL="14605" distR="14605" simplePos="0" locked="0" layoutInCell="1" allowOverlap="1" relativeHeight="5" wp14:anchorId="030121AC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14605" t="14605" r="14605" b="14605"/>
              <wp:wrapNone/>
              <wp:docPr id="3" name="4 Conector recto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.6pt,11.4pt" to="453.55pt,11.4pt" ID="4 Conector recto" stroked="t" o:allowincell="f" style="position:absolute" wp14:anchorId="030121AC">
              <v:stroke color="#1c83a8" weight="2844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1279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1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73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45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7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9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61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3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05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1401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1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73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45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7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9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61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3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05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1279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1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73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45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7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9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61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3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05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0"/>
        </w:tabs>
        <w:ind w:left="828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8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68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88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08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428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148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68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88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99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9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12e7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Heading1">
    <w:name w:val="Heading 1"/>
    <w:basedOn w:val="Normal"/>
    <w:next w:val="Normal"/>
    <w:link w:val="Ttulo1Car"/>
    <w:uiPriority w:val="9"/>
    <w:qFormat/>
    <w:rsid w:val="009f1997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themeColor="accent1" w:themeShade="bf" w:val="365F91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5c13e6"/>
    <w:rPr/>
  </w:style>
  <w:style w:type="character" w:styleId="PiedepginaCar" w:customStyle="1">
    <w:name w:val="Pie de página Car"/>
    <w:basedOn w:val="DefaultParagraphFont"/>
    <w:uiPriority w:val="99"/>
    <w:qFormat/>
    <w:rsid w:val="005c13e6"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5c13e6"/>
    <w:rPr>
      <w:rFonts w:ascii="Tahoma" w:hAnsi="Tahoma" w:cs="Tahoma"/>
      <w:sz w:val="16"/>
      <w:szCs w:val="16"/>
    </w:rPr>
  </w:style>
  <w:style w:type="character" w:styleId="Apple-converted-space" w:customStyle="1">
    <w:name w:val="apple-converted-space"/>
    <w:basedOn w:val="DefaultParagraphFont"/>
    <w:qFormat/>
    <w:rsid w:val="00a149ea"/>
    <w:rPr/>
  </w:style>
  <w:style w:type="character" w:styleId="Il" w:customStyle="1">
    <w:name w:val="il"/>
    <w:basedOn w:val="DefaultParagraphFont"/>
    <w:qFormat/>
    <w:rsid w:val="008716dd"/>
    <w:rPr/>
  </w:style>
  <w:style w:type="character" w:styleId="Hyperlink">
    <w:name w:val="Hyperlink"/>
    <w:basedOn w:val="DefaultParagraphFont"/>
    <w:uiPriority w:val="99"/>
    <w:unhideWhenUsed/>
    <w:rsid w:val="00c94f10"/>
    <w:rPr>
      <w:color w:themeColor="hyperlink" w:val="0000FF"/>
      <w:u w:val="single"/>
    </w:rPr>
  </w:style>
  <w:style w:type="character" w:styleId="Ttulo1Car" w:customStyle="1">
    <w:name w:val="Título 1 Car"/>
    <w:basedOn w:val="DefaultParagraphFont"/>
    <w:uiPriority w:val="9"/>
    <w:qFormat/>
    <w:rsid w:val="009f1997"/>
    <w:rPr>
      <w:rFonts w:ascii="Cambria" w:hAnsi="Cambria" w:eastAsia="" w:cs="" w:asciiTheme="majorHAnsi" w:cstheme="majorBidi" w:eastAsiaTheme="majorEastAsia" w:hAnsiTheme="majorHAnsi"/>
      <w:color w:themeColor="accent1" w:themeShade="bf" w:val="365F91"/>
      <w:sz w:val="32"/>
      <w:szCs w:val="32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Noto Sans Devanagari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5c13e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epginaCar"/>
    <w:uiPriority w:val="99"/>
    <w:unhideWhenUsed/>
    <w:rsid w:val="005c13e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c13e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e5221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s-AR" w:eastAsia="es-MX"/>
    </w:rPr>
  </w:style>
  <w:style w:type="paragraph" w:styleId="ListParagraph">
    <w:name w:val="List Paragraph"/>
    <w:basedOn w:val="Normal"/>
    <w:uiPriority w:val="34"/>
    <w:qFormat/>
    <w:rsid w:val="00d7082a"/>
    <w:pPr>
      <w:spacing w:before="0" w:after="200"/>
      <w:ind w:left="720" w:hanging="0"/>
      <w:contextualSpacing/>
    </w:pPr>
    <w:rPr/>
  </w:style>
  <w:style w:type="paragraph" w:styleId="Ttulo1" w:customStyle="1">
    <w:name w:val="Título1"/>
    <w:basedOn w:val="Normal"/>
    <w:next w:val="Normal"/>
    <w:qFormat/>
    <w:rsid w:val="00ed30c4"/>
    <w:pPr>
      <w:pBdr>
        <w:bottom w:val="single" w:sz="8" w:space="4" w:color="4F81BD"/>
      </w:pBdr>
      <w:suppressAutoHyphens w:val="true"/>
      <w:spacing w:lineRule="auto" w:line="240"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  <w:lang w:eastAsia="zh-CN"/>
    </w:rPr>
  </w:style>
  <w:style w:type="paragraph" w:styleId="Prrafodelista1" w:customStyle="1">
    <w:name w:val="Párrafo de lista1"/>
    <w:basedOn w:val="Normal"/>
    <w:qFormat/>
    <w:rsid w:val="00ed30c4"/>
    <w:pPr>
      <w:suppressAutoHyphens w:val="true"/>
      <w:spacing w:before="0" w:after="200"/>
      <w:ind w:left="720" w:hanging="0"/>
      <w:contextualSpacing/>
    </w:pPr>
    <w:rPr>
      <w:rFonts w:ascii="Calibri" w:hAnsi="Calibri" w:eastAsia="Calibri" w:cs="Calibri"/>
      <w:lang w:eastAsia="zh-CN"/>
    </w:rPr>
  </w:style>
  <w:style w:type="paragraph" w:styleId="Standard" w:customStyle="1">
    <w:name w:val="Standard"/>
    <w:qFormat/>
    <w:rsid w:val="00e76c26"/>
    <w:pPr>
      <w:widowControl/>
      <w:suppressAutoHyphens w:val="true"/>
      <w:bidi w:val="0"/>
      <w:spacing w:lineRule="auto" w:line="252" w:before="0" w:after="160"/>
      <w:jc w:val="both"/>
      <w:textAlignment w:val="baseline"/>
    </w:pPr>
    <w:rPr>
      <w:rFonts w:ascii="Liberation Serif" w:hAnsi="Liberation Serif" w:eastAsia="Times New Roman" w:cs="Liberation Serif"/>
      <w:color w:val="auto"/>
      <w:kern w:val="2"/>
      <w:sz w:val="23"/>
      <w:szCs w:val="22"/>
      <w:lang w:val="es-AR" w:eastAsia="zh-CN" w:bidi="ar-SA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76c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aconcuadrcula1">
    <w:name w:val="Tabla con cuadrícula1"/>
    <w:basedOn w:val="Tablanormal"/>
    <w:uiPriority w:val="59"/>
    <w:rsid w:val="002e6925"/>
    <w:pPr>
      <w:spacing w:after="0" w:line="240" w:lineRule="auto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9f1997"/>
    <w:pPr>
      <w:spacing w:after="0" w:line="240" w:lineRule="auto"/>
    </w:pPr>
    <w:rPr>
      <w:rFonts w:eastAsiaTheme="minorEastAsia"/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vilidadinternacional@unpaz.edu.ar" TargetMode="External"/><Relationship Id="rId3" Type="http://schemas.openxmlformats.org/officeDocument/2006/relationships/hyperlink" Target="mailto:Movilidadinternacional@unpaz.edu.ar" TargetMode="External"/><Relationship Id="rId4" Type="http://schemas.openxmlformats.org/officeDocument/2006/relationships/hyperlink" Target="mailto:Movilidadinternacional@unpaz.edu.ar" TargetMode="External"/><Relationship Id="rId5" Type="http://schemas.openxmlformats.org/officeDocument/2006/relationships/hyperlink" Target="mailto:Movilidadinternacional@unpaz.edu.ar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C9007-7BC2-45DF-96A5-1900DAAA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Collabora_Office/23.05.2.2$Linux_X86_64 LibreOffice_project/22110b2036e37e868c9d06310588d90bbee63d69</Application>
  <AppVersion>15.0000</AppVersion>
  <Pages>4</Pages>
  <Words>883</Words>
  <Characters>5082</Characters>
  <CharactersWithSpaces>5982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2023-09-19T13:50:00Z</dcterms:created>
  <dc:creator>Perla</dc:creator>
  <dc:description/>
  <dc:language>es-ES</dc:language>
  <cp:lastModifiedBy>Ignacio Castillo</cp:lastModifiedBy>
  <cp:lastPrinted>2020-01-03T17:26:00Z</cp:lastPrinted>
  <dcterms:modified xsi:type="dcterms:W3CDTF">2023-09-21T16:51:00Z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